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DA" w:rsidRDefault="00F25BDA" w:rsidP="00F25BDA">
      <w:pPr>
        <w:tabs>
          <w:tab w:val="left" w:pos="3690"/>
        </w:tabs>
        <w:spacing w:after="0"/>
        <w:ind w:right="5504"/>
        <w:jc w:val="right"/>
        <w:rPr>
          <w:rFonts w:ascii="Times New Roman" w:hAnsi="Times New Roman"/>
          <w:b/>
          <w:bCs/>
          <w:lang w:val="sr-Cyrl-RS"/>
        </w:rPr>
      </w:pPr>
      <w:r>
        <w:rPr>
          <w:rFonts w:ascii="Times New Roman" w:hAnsi="Times New Roman"/>
          <w:b/>
          <w:bCs/>
          <w:lang w:val="sr-Cyrl-RS"/>
        </w:rPr>
        <w:t xml:space="preserve">                      </w:t>
      </w:r>
      <w:r>
        <w:rPr>
          <w:rFonts w:ascii="Times New Roman" w:hAnsi="Times New Roman"/>
          <w:b/>
          <w:noProof/>
        </w:rPr>
        <w:drawing>
          <wp:inline distT="0" distB="0" distL="0" distR="0">
            <wp:extent cx="628650" cy="1019175"/>
            <wp:effectExtent l="0" t="0" r="0" b="9525"/>
            <wp:docPr id="1" name="Picture 1" descr="Description: Description: 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rb-Srbija_200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lang w:val="sr-Cyrl-RS"/>
        </w:rPr>
        <w:tab/>
        <w:t xml:space="preserve">                                                                                                           </w:t>
      </w:r>
    </w:p>
    <w:p w:rsidR="00F25BDA" w:rsidRDefault="00F25BDA" w:rsidP="00F25BDA">
      <w:pPr>
        <w:tabs>
          <w:tab w:val="left" w:pos="3690"/>
        </w:tabs>
        <w:spacing w:after="0"/>
        <w:ind w:left="-90" w:right="5504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РЕПУБЛИКА СРБИЈА</w:t>
      </w:r>
    </w:p>
    <w:p w:rsidR="00F25BDA" w:rsidRDefault="00F25BDA" w:rsidP="00F25BDA">
      <w:pPr>
        <w:tabs>
          <w:tab w:val="left" w:pos="3690"/>
        </w:tabs>
        <w:spacing w:after="0"/>
        <w:ind w:right="5504"/>
        <w:rPr>
          <w:rFonts w:ascii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/>
          <w:b/>
          <w:bCs/>
          <w:sz w:val="24"/>
          <w:szCs w:val="24"/>
          <w:lang w:val="sr-Latn-CS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Министарство омладине и спорта</w:t>
      </w:r>
    </w:p>
    <w:p w:rsidR="00F25BDA" w:rsidRDefault="00F25BDA" w:rsidP="00F25BDA">
      <w:pPr>
        <w:tabs>
          <w:tab w:val="left" w:pos="3240"/>
          <w:tab w:val="left" w:pos="3510"/>
          <w:tab w:val="left" w:pos="3690"/>
          <w:tab w:val="left" w:pos="7200"/>
        </w:tabs>
        <w:spacing w:after="0"/>
        <w:ind w:left="-90" w:right="53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>
        <w:rPr>
          <w:rFonts w:ascii="Times New Roman" w:hAnsi="Times New Roman"/>
          <w:sz w:val="24"/>
          <w:szCs w:val="24"/>
          <w:lang w:val="sr-Cyrl-CS"/>
        </w:rPr>
        <w:t>Број</w:t>
      </w:r>
      <w:r>
        <w:rPr>
          <w:rFonts w:ascii="Times New Roman" w:hAnsi="Times New Roman"/>
          <w:sz w:val="24"/>
          <w:szCs w:val="24"/>
          <w:lang w:val="ru-RU"/>
        </w:rPr>
        <w:t>: 404-02-1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/201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-05</w:t>
      </w:r>
    </w:p>
    <w:p w:rsidR="00F25BDA" w:rsidRDefault="00F25BDA" w:rsidP="00F25BDA">
      <w:pPr>
        <w:tabs>
          <w:tab w:val="left" w:pos="4230"/>
          <w:tab w:val="left" w:pos="4500"/>
        </w:tabs>
        <w:spacing w:after="0"/>
        <w:ind w:left="-720" w:right="4951" w:hanging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  <w:lang w:val="sr-Cyrl-CS"/>
        </w:rPr>
        <w:t xml:space="preserve">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април</w:t>
      </w:r>
      <w:proofErr w:type="gramEnd"/>
      <w:r>
        <w:rPr>
          <w:rFonts w:ascii="Times New Roman" w:hAnsi="Times New Roman"/>
          <w:sz w:val="24"/>
          <w:szCs w:val="24"/>
          <w:lang w:val="sr-Cyrl-CS"/>
        </w:rPr>
        <w:t xml:space="preserve"> 2015. година</w:t>
      </w:r>
    </w:p>
    <w:p w:rsidR="00F25BDA" w:rsidRDefault="00F25BDA" w:rsidP="00F25BDA">
      <w:pPr>
        <w:tabs>
          <w:tab w:val="left" w:pos="4230"/>
          <w:tab w:val="left" w:pos="4500"/>
        </w:tabs>
        <w:spacing w:after="0"/>
        <w:ind w:left="-720" w:right="4951" w:hanging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sr-Cyrl-CS"/>
        </w:rPr>
        <w:t>Б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о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г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р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д</w:t>
      </w:r>
    </w:p>
    <w:p w:rsidR="00F25BDA" w:rsidRDefault="00F25BDA" w:rsidP="00F25BDA">
      <w:pPr>
        <w:tabs>
          <w:tab w:val="left" w:pos="4230"/>
          <w:tab w:val="left" w:pos="4500"/>
        </w:tabs>
        <w:spacing w:after="0"/>
        <w:ind w:left="-720" w:right="4951" w:hanging="36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Булевар Михајла Пупина број 2</w:t>
      </w:r>
    </w:p>
    <w:p w:rsidR="00F25BDA" w:rsidRDefault="00F25BDA" w:rsidP="00F25BDA">
      <w:pPr>
        <w:spacing w:after="0"/>
        <w:rPr>
          <w:rFonts w:ascii="Times New Roman" w:hAnsi="Times New Roman"/>
          <w:sz w:val="24"/>
          <w:szCs w:val="24"/>
          <w:lang w:val="sr-Cyrl-CS"/>
        </w:rPr>
      </w:pPr>
    </w:p>
    <w:p w:rsidR="00F25BDA" w:rsidRDefault="00F25BDA" w:rsidP="00F25BDA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F25BDA" w:rsidRDefault="00F25BDA" w:rsidP="00F25BDA">
      <w:pPr>
        <w:spacing w:after="0"/>
        <w:ind w:firstLine="720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ИЗМЕНА КОНКУРСНЕ ДОКУМЕНТАЦИЈЕ ЗА ЈАВНУ НАБАВКУ 1/2015</w:t>
      </w:r>
    </w:p>
    <w:p w:rsidR="00F25BDA" w:rsidRDefault="00F25BDA" w:rsidP="00F25BDA">
      <w:pPr>
        <w:spacing w:after="0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РАДОВИ НА ИЗГРАДЊИ АТЛЕТСКЕ ДВОРАНЕ, ДРУГА ФАЗА, У БЕОГРАДУ</w:t>
      </w:r>
    </w:p>
    <w:p w:rsidR="00F25BDA" w:rsidRDefault="00F25BDA" w:rsidP="00F25BDA">
      <w:pPr>
        <w:rPr>
          <w:lang w:val="sr-Cyrl-RS"/>
        </w:rPr>
      </w:pPr>
    </w:p>
    <w:p w:rsidR="00F25BDA" w:rsidRPr="00BC692B" w:rsidRDefault="00BC692B" w:rsidP="00BC692B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конкурсној документацији Поглавље </w:t>
      </w:r>
      <w:r>
        <w:rPr>
          <w:rFonts w:ascii="Times New Roman" w:hAnsi="Times New Roman"/>
          <w:sz w:val="24"/>
          <w:szCs w:val="24"/>
          <w:lang w:val="sr-Latn-RS"/>
        </w:rPr>
        <w:t xml:space="preserve">IV </w:t>
      </w:r>
      <w:r>
        <w:rPr>
          <w:rFonts w:ascii="Times New Roman" w:hAnsi="Times New Roman"/>
          <w:sz w:val="24"/>
          <w:szCs w:val="24"/>
          <w:lang w:val="sr-Cyrl-RS"/>
        </w:rPr>
        <w:t>Упутство понуђачима како да сачине понуду у тачки 19. Елементи критеријума на основу којих ће наручилац извршити доделу уговора у ситуацији када постоје две или више понуда са истом понуђеном ценом додаје се реченица која гласи: „</w:t>
      </w:r>
      <w:r w:rsidR="004127B1">
        <w:rPr>
          <w:rFonts w:ascii="Times New Roman" w:hAnsi="Times New Roman"/>
          <w:sz w:val="24"/>
          <w:szCs w:val="24"/>
          <w:lang w:val="sr-Cyrl-RS"/>
        </w:rPr>
        <w:t xml:space="preserve">У случају </w:t>
      </w:r>
      <w:r>
        <w:rPr>
          <w:rFonts w:ascii="Times New Roman" w:hAnsi="Times New Roman"/>
          <w:sz w:val="24"/>
          <w:szCs w:val="24"/>
          <w:lang w:val="sr-Cyrl-RS"/>
        </w:rPr>
        <w:t xml:space="preserve">истог понуђеног гарантног рока и </w:t>
      </w:r>
      <w:r w:rsidR="004127B1">
        <w:rPr>
          <w:rFonts w:ascii="Times New Roman" w:hAnsi="Times New Roman"/>
          <w:sz w:val="24"/>
          <w:szCs w:val="24"/>
          <w:lang w:val="sr-Cyrl-RS"/>
        </w:rPr>
        <w:t xml:space="preserve">истог </w:t>
      </w:r>
      <w:r>
        <w:rPr>
          <w:rFonts w:ascii="Times New Roman" w:hAnsi="Times New Roman"/>
          <w:sz w:val="24"/>
          <w:szCs w:val="24"/>
          <w:lang w:val="sr-Cyrl-RS"/>
        </w:rPr>
        <w:t>рока за извођење радова, као најповољнија биће изабрана понуда оног понуђача који је понудио дужи рок важења понуде</w:t>
      </w:r>
      <w:r w:rsidR="00F70C2F">
        <w:rPr>
          <w:rFonts w:ascii="Times New Roman" w:hAnsi="Times New Roman"/>
          <w:sz w:val="24"/>
          <w:szCs w:val="24"/>
          <w:lang w:val="sr-Cyrl-RS"/>
        </w:rPr>
        <w:t xml:space="preserve"> од оног предвиђеног конкурсном документацијом</w:t>
      </w:r>
      <w:r>
        <w:rPr>
          <w:rFonts w:ascii="Times New Roman" w:hAnsi="Times New Roman"/>
          <w:sz w:val="24"/>
          <w:szCs w:val="24"/>
          <w:lang w:val="sr-Cyrl-RS"/>
        </w:rPr>
        <w:t>. Уколико се избор</w:t>
      </w:r>
      <w:r w:rsidR="004127B1">
        <w:rPr>
          <w:rFonts w:ascii="Times New Roman" w:hAnsi="Times New Roman"/>
          <w:sz w:val="24"/>
          <w:szCs w:val="24"/>
          <w:lang w:val="sr-Cyrl-RS"/>
        </w:rPr>
        <w:t xml:space="preserve"> најповољније</w:t>
      </w:r>
      <w:r>
        <w:rPr>
          <w:rFonts w:ascii="Times New Roman" w:hAnsi="Times New Roman"/>
          <w:sz w:val="24"/>
          <w:szCs w:val="24"/>
          <w:lang w:val="sr-Cyrl-RS"/>
        </w:rPr>
        <w:t xml:space="preserve"> понуде не може извршити на основу ниједно</w:t>
      </w:r>
      <w:r w:rsidR="004127B1">
        <w:rPr>
          <w:rFonts w:ascii="Times New Roman" w:hAnsi="Times New Roman"/>
          <w:sz w:val="24"/>
          <w:szCs w:val="24"/>
          <w:lang w:val="sr-Cyrl-RS"/>
        </w:rPr>
        <w:t>г предвиђеног резервног критеријума, избор понуде ће се извршити методом случајног избора  путем извлачења из жреба</w:t>
      </w:r>
      <w:r w:rsidR="00F70C2F">
        <w:rPr>
          <w:rFonts w:ascii="Times New Roman" w:hAnsi="Times New Roman"/>
          <w:sz w:val="24"/>
          <w:szCs w:val="24"/>
          <w:lang w:val="sr-Cyrl-RS"/>
        </w:rPr>
        <w:t>“</w:t>
      </w:r>
      <w:r w:rsidR="004127B1">
        <w:rPr>
          <w:rFonts w:ascii="Times New Roman" w:hAnsi="Times New Roman"/>
          <w:sz w:val="24"/>
          <w:szCs w:val="24"/>
          <w:lang w:val="sr-Cyrl-RS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17E3" w:rsidRDefault="00F25BDA" w:rsidP="00F25BD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У Техничком делу конкурсне документације</w:t>
      </w:r>
      <w:r w:rsidR="001617E3">
        <w:rPr>
          <w:rFonts w:ascii="Times New Roman" w:hAnsi="Times New Roman"/>
          <w:sz w:val="24"/>
          <w:szCs w:val="24"/>
          <w:lang w:val="sr-Cyrl-RS"/>
        </w:rPr>
        <w:t xml:space="preserve"> врше се следеће измене:</w:t>
      </w:r>
    </w:p>
    <w:p w:rsidR="00F25BDA" w:rsidRDefault="00F70C2F" w:rsidP="00F25BD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У делу</w:t>
      </w:r>
      <w:r w:rsidR="00F25BDA">
        <w:rPr>
          <w:rFonts w:ascii="Times New Roman" w:hAnsi="Times New Roman"/>
          <w:sz w:val="24"/>
          <w:szCs w:val="24"/>
          <w:lang w:val="sr-Cyrl-RS"/>
        </w:rPr>
        <w:t xml:space="preserve"> 1.2. Предмер и предрачун грађевинских и грађвинско занатских радова – друга фаза изградње, </w:t>
      </w:r>
      <w:r w:rsidR="001617E3">
        <w:rPr>
          <w:rFonts w:ascii="Times New Roman" w:hAnsi="Times New Roman"/>
          <w:sz w:val="24"/>
          <w:szCs w:val="24"/>
          <w:lang w:val="sr-Cyrl-RS"/>
        </w:rPr>
        <w:t>на страни 234 у групи радова – Радови који нису изведени у првој фази позиција 07.003 мења се количина тако да уместо количине од: „1422,02м2“, треба да стоји количина од: „1276,40м2“.</w:t>
      </w:r>
    </w:p>
    <w:p w:rsidR="00F70C2F" w:rsidRDefault="00F70C2F" w:rsidP="00F70C2F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У делу </w:t>
      </w:r>
      <w:r w:rsidR="001617E3">
        <w:rPr>
          <w:rFonts w:ascii="Times New Roman" w:hAnsi="Times New Roman"/>
          <w:sz w:val="24"/>
          <w:szCs w:val="24"/>
          <w:lang w:val="sr-Cyrl-RS"/>
        </w:rPr>
        <w:t>Предмер и предрачун –</w:t>
      </w:r>
      <w:r w:rsidR="001617E3">
        <w:rPr>
          <w:rFonts w:ascii="Times New Roman" w:hAnsi="Times New Roman"/>
          <w:sz w:val="24"/>
          <w:szCs w:val="24"/>
          <w:lang w:val="sr-Latn-RS"/>
        </w:rPr>
        <w:t xml:space="preserve">II </w:t>
      </w:r>
      <w:r w:rsidR="001617E3">
        <w:rPr>
          <w:rFonts w:ascii="Times New Roman" w:hAnsi="Times New Roman"/>
          <w:sz w:val="24"/>
          <w:szCs w:val="24"/>
          <w:lang w:val="sr-Cyrl-RS"/>
        </w:rPr>
        <w:t>Ревизија уз главни пројекат нискоградње за атлетску дворану у касарни „Јован Мишковић“ у Београду, на страни 350 у групи радова – Коловозна конструкција позиција 3.2 уместо јединице мере: „м2“, треба да стоји: „м3“.</w:t>
      </w:r>
      <w:bookmarkStart w:id="0" w:name="_GoBack"/>
      <w:bookmarkEnd w:id="0"/>
    </w:p>
    <w:p w:rsidR="00F70C2F" w:rsidRDefault="00F70C2F" w:rsidP="00F70C2F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25BDA" w:rsidRDefault="00F25BDA" w:rsidP="00F70C2F">
      <w:pPr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Комисија за јавну набавку</w:t>
      </w:r>
    </w:p>
    <w:p w:rsidR="003E7323" w:rsidRDefault="003E7323"/>
    <w:sectPr w:rsidR="003E73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C4"/>
    <w:rsid w:val="001617E3"/>
    <w:rsid w:val="002354C4"/>
    <w:rsid w:val="003E7323"/>
    <w:rsid w:val="004127B1"/>
    <w:rsid w:val="00BC692B"/>
    <w:rsid w:val="00F20C96"/>
    <w:rsid w:val="00F25BDA"/>
    <w:rsid w:val="00F41462"/>
    <w:rsid w:val="00F7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D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D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Zaklina</dc:creator>
  <cp:keywords/>
  <dc:description/>
  <cp:lastModifiedBy>Zaklina</cp:lastModifiedBy>
  <cp:revision>7</cp:revision>
  <cp:lastPrinted>2015-04-21T08:45:00Z</cp:lastPrinted>
  <dcterms:created xsi:type="dcterms:W3CDTF">2015-04-21T06:22:00Z</dcterms:created>
  <dcterms:modified xsi:type="dcterms:W3CDTF">2015-04-21T08:45:00Z</dcterms:modified>
</cp:coreProperties>
</file>